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BF1BD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厦门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国信信用大数据创新研究院章程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概要</w:t>
      </w:r>
    </w:p>
    <w:p w14:paraId="72F42677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厦门国信信用大数据创新研究院章程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》</w:t>
      </w:r>
      <w:r>
        <w:rPr>
          <w:rFonts w:hint="eastAsia" w:ascii="仿宋" w:hAnsi="仿宋" w:eastAsia="仿宋" w:cs="仿宋"/>
          <w:sz w:val="30"/>
          <w:szCs w:val="30"/>
        </w:rPr>
        <w:t>共九章四十九条。章程依次包含总则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举办者的权利、开办资金和业务范围、组织管理制度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党建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资产管理、使用原则及劳动用工制度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章程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修改、终止和终止后资产处理、附则九大板块。内容明确机构性质、宗旨、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业务</w:t>
      </w:r>
      <w:r>
        <w:rPr>
          <w:rFonts w:hint="eastAsia" w:ascii="仿宋" w:hAnsi="仿宋" w:eastAsia="仿宋" w:cs="仿宋"/>
          <w:sz w:val="30"/>
          <w:szCs w:val="30"/>
        </w:rPr>
        <w:t>指导单位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业务主管部门</w:t>
      </w:r>
      <w:r>
        <w:rPr>
          <w:rFonts w:hint="eastAsia" w:ascii="仿宋" w:hAnsi="仿宋" w:eastAsia="仿宋" w:cs="仿宋"/>
          <w:sz w:val="30"/>
          <w:szCs w:val="30"/>
        </w:rPr>
        <w:t>；列明举办者权责、开办资金来源、业务范围；规范理事会、院长、监事的产生方式、任期与履职权限；划定法定代表人任职限制；确立党组织政治核心职能；规范经费来源、财务核算、资产使用、人员薪酬管理；载明章程修订流程、单位终止清算规则与剩余财产处置要求，同时明确章程解释权与生效条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7B2F"/>
    <w:rsid w:val="48BC7B2F"/>
    <w:rsid w:val="7602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0</TotalTime>
  <ScaleCrop>false</ScaleCrop>
  <LinksUpToDate>false</LinksUpToDate>
  <CharactersWithSpaces>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2026-07-08T07:00:00Z</dcterms:created>
  <dc:creator>bo</dc:creator>
  <cp:lastModifiedBy>bo</cp:lastModifiedBy>
  <dcterms:modified xsi:type="dcterms:W3CDTF">2026-07-13T06:05:53Z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6EA7B46FBFAA42CFAECF96E4AFF9329A_11</vt:lpwstr>
  </property>
  <property fmtid="{D5CDD505-2E9C-101B-9397-08002B2CF9AE}" pid="4" name="KSOTemplateDocerSaveRecord">
    <vt:lpwstr>eyJoZGlkIjoiNjI1YmQ4NjI4NmVmYzU0MzU0Njg3OGQxYmY0MGY1ZDgiLCJ1c2VySWQiOiIxMDY5Njk5NDcxIn0=</vt:lpwstr>
  </property>
</Properties>
</file>